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922D" w14:textId="77777777" w:rsidR="006808D8" w:rsidRDefault="00EB32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D068B" wp14:editId="3210F79C">
                <wp:simplePos x="0" y="0"/>
                <wp:positionH relativeFrom="column">
                  <wp:posOffset>-271780</wp:posOffset>
                </wp:positionH>
                <wp:positionV relativeFrom="paragraph">
                  <wp:posOffset>-588645</wp:posOffset>
                </wp:positionV>
                <wp:extent cx="6362700" cy="6083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78914" w14:textId="6B1DBEE5" w:rsidR="005E386C" w:rsidRPr="00BD516C" w:rsidRDefault="00107838" w:rsidP="005E386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（コロナ対応型）</w:t>
                            </w:r>
                            <w:r w:rsidR="005E386C" w:rsidRPr="00BD516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222D315" w14:textId="77777777" w:rsidR="00EB32D2" w:rsidRPr="005C215D" w:rsidRDefault="00EB32D2" w:rsidP="005E386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15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7CAAC" w:themeColor="accent2" w:themeTint="66"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小規模事業者持続化</w:t>
                            </w:r>
                            <w:r w:rsidRPr="005C215D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7CAAC" w:themeColor="accent2" w:themeTint="66"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D0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46.35pt;width:501pt;height:4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" filled="f" stroked="f">
                <v:textbox style="mso-fit-shape-to-text:t" inset="5.85pt,.7pt,5.85pt,.7pt">
                  <w:txbxContent>
                    <w:p w14:paraId="7E078914" w14:textId="6B1DBEE5" w:rsidR="005E386C" w:rsidRPr="00BD516C" w:rsidRDefault="00107838" w:rsidP="005E386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（コロナ対応型）</w:t>
                      </w:r>
                      <w:r w:rsidR="005E386C" w:rsidRPr="00BD516C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222D315" w14:textId="77777777" w:rsidR="00EB32D2" w:rsidRPr="005C215D" w:rsidRDefault="00EB32D2" w:rsidP="005E386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68"/>
                          <w:szCs w:val="6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15D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7CAAC" w:themeColor="accent2" w:themeTint="66"/>
                          <w:sz w:val="68"/>
                          <w:szCs w:val="6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小規模事業者持続化</w:t>
                      </w:r>
                      <w:r w:rsidRPr="005C215D">
                        <w:rPr>
                          <w:rFonts w:ascii="HG創英角ｺﾞｼｯｸUB" w:eastAsia="HG創英角ｺﾞｼｯｸUB" w:hAnsi="HG創英角ｺﾞｼｯｸUB"/>
                          <w:b/>
                          <w:color w:val="F7CAAC" w:themeColor="accent2" w:themeTint="66"/>
                          <w:sz w:val="68"/>
                          <w:szCs w:val="6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補助金</w:t>
                      </w:r>
                    </w:p>
                  </w:txbxContent>
                </v:textbox>
              </v:shape>
            </w:pict>
          </mc:Fallback>
        </mc:AlternateContent>
      </w:r>
    </w:p>
    <w:p w14:paraId="67AEAEB3" w14:textId="77777777" w:rsidR="00273568" w:rsidRDefault="00273568"/>
    <w:p w14:paraId="7C7962A3" w14:textId="37351231" w:rsidR="00107838" w:rsidRPr="00107838" w:rsidRDefault="00EB32D2" w:rsidP="00E724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107838" w:rsidRPr="00107838">
        <w:rPr>
          <w:rFonts w:hint="eastAsia"/>
          <w:szCs w:val="21"/>
        </w:rPr>
        <w:t>新型コロナウイルス感染の影響を乗り越えるために、具体的な対策（サプライチェーン毀損の構築・非対面型ビジネスモデルの構築・テレワーク環境の整備）を講じた小規模事業者に対して、販路開拓に取り組む事業の２／３</w:t>
      </w:r>
      <w:r w:rsidR="006D6E76">
        <w:rPr>
          <w:rFonts w:hint="eastAsia"/>
          <w:szCs w:val="21"/>
        </w:rPr>
        <w:t>または</w:t>
      </w:r>
      <w:r w:rsidR="006D6E76">
        <w:rPr>
          <w:rFonts w:hint="eastAsia"/>
          <w:szCs w:val="21"/>
        </w:rPr>
        <w:t>３／４</w:t>
      </w:r>
      <w:r w:rsidR="00107838" w:rsidRPr="00107838">
        <w:rPr>
          <w:rFonts w:hint="eastAsia"/>
          <w:szCs w:val="21"/>
        </w:rPr>
        <w:t>（上限１００万円）</w:t>
      </w:r>
      <w:r w:rsidR="006D6E76">
        <w:rPr>
          <w:rFonts w:hint="eastAsia"/>
          <w:szCs w:val="21"/>
        </w:rPr>
        <w:t>は</w:t>
      </w:r>
      <w:r w:rsidR="00107838" w:rsidRPr="00107838">
        <w:rPr>
          <w:rFonts w:hint="eastAsia"/>
          <w:szCs w:val="21"/>
        </w:rPr>
        <w:t>を補助します。</w:t>
      </w:r>
    </w:p>
    <w:p w14:paraId="3C310C2E" w14:textId="77777777" w:rsidR="00BE00AA" w:rsidRPr="00107838" w:rsidRDefault="00CD66CA" w:rsidP="00E72440">
      <w:pPr>
        <w:ind w:firstLineChars="100" w:firstLine="210"/>
        <w:jc w:val="left"/>
        <w:rPr>
          <w:szCs w:val="21"/>
          <w:u w:val="single"/>
        </w:rPr>
      </w:pPr>
      <w:r w:rsidRPr="00107838">
        <w:rPr>
          <w:rFonts w:hint="eastAsia"/>
          <w:szCs w:val="21"/>
          <w:u w:val="single"/>
        </w:rPr>
        <w:t>商工会でも経営計画作成の支援をいたしますので、</w:t>
      </w:r>
      <w:r w:rsidR="00BD516C" w:rsidRPr="00107838">
        <w:rPr>
          <w:rFonts w:hint="eastAsia"/>
          <w:szCs w:val="21"/>
          <w:u w:val="single"/>
        </w:rPr>
        <w:t>この機会に是非挑戦してみてください。</w:t>
      </w:r>
    </w:p>
    <w:p w14:paraId="40AD26EA" w14:textId="369324CA" w:rsidR="00E22F77" w:rsidRPr="00BE00AA" w:rsidRDefault="00E22F77">
      <w:pPr>
        <w:rPr>
          <w:sz w:val="24"/>
          <w:szCs w:val="24"/>
        </w:rPr>
      </w:pPr>
      <w:r w:rsidRPr="00BE00AA">
        <w:rPr>
          <w:rFonts w:hint="eastAsia"/>
          <w:sz w:val="24"/>
          <w:szCs w:val="24"/>
        </w:rPr>
        <w:t>（１）補助対象者・補助率・補助対象経費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424"/>
        <w:gridCol w:w="2700"/>
        <w:gridCol w:w="2799"/>
      </w:tblGrid>
      <w:tr w:rsidR="00107838" w:rsidRPr="00BE00AA" w14:paraId="5FDC351A" w14:textId="77777777" w:rsidTr="00107838">
        <w:trPr>
          <w:trHeight w:val="722"/>
        </w:trPr>
        <w:tc>
          <w:tcPr>
            <w:tcW w:w="4424" w:type="dxa"/>
            <w:vAlign w:val="center"/>
          </w:tcPr>
          <w:p w14:paraId="4DBAAF8E" w14:textId="77777777" w:rsidR="00107838" w:rsidRPr="008A3C22" w:rsidRDefault="00107838" w:rsidP="00E22F77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A3C2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補助対象者</w:t>
            </w:r>
          </w:p>
        </w:tc>
        <w:tc>
          <w:tcPr>
            <w:tcW w:w="2700" w:type="dxa"/>
            <w:vAlign w:val="center"/>
          </w:tcPr>
          <w:p w14:paraId="0DEDBE8B" w14:textId="77777777" w:rsidR="00107838" w:rsidRPr="008A3C22" w:rsidRDefault="00107838" w:rsidP="00E22F77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A3C2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補助率</w:t>
            </w:r>
          </w:p>
        </w:tc>
        <w:tc>
          <w:tcPr>
            <w:tcW w:w="2799" w:type="dxa"/>
            <w:vAlign w:val="center"/>
          </w:tcPr>
          <w:p w14:paraId="292086B2" w14:textId="42AD366C" w:rsidR="00107838" w:rsidRPr="008A3C22" w:rsidRDefault="00107838" w:rsidP="00E22F77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A3C2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補助対象経費</w:t>
            </w:r>
          </w:p>
        </w:tc>
      </w:tr>
      <w:tr w:rsidR="00107838" w:rsidRPr="00BE00AA" w14:paraId="59E5EA09" w14:textId="77777777" w:rsidTr="00107838">
        <w:trPr>
          <w:trHeight w:val="5865"/>
        </w:trPr>
        <w:tc>
          <w:tcPr>
            <w:tcW w:w="4424" w:type="dxa"/>
            <w:vAlign w:val="center"/>
          </w:tcPr>
          <w:p w14:paraId="1DEE0981" w14:textId="47043545" w:rsidR="00107838" w:rsidRPr="008A3C22" w:rsidRDefault="00107838" w:rsidP="008A3C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次の１）・２）及び３）を満たす小規模</w:t>
            </w:r>
            <w:r w:rsidRPr="008A3C22">
              <w:rPr>
                <w:rFonts w:hint="eastAsia"/>
                <w:sz w:val="22"/>
              </w:rPr>
              <w:t>事業者になります。</w:t>
            </w:r>
          </w:p>
          <w:p w14:paraId="4FEF5249" w14:textId="77777777" w:rsidR="00107838" w:rsidRPr="00B37C66" w:rsidRDefault="00107838" w:rsidP="00DD76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E00A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１）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小規模事業者であること</w:t>
            </w:r>
          </w:p>
          <w:p w14:paraId="2B348BBE" w14:textId="77777777" w:rsidR="00107838" w:rsidRDefault="00107838" w:rsidP="005E386C">
            <w:pPr>
              <w:ind w:firstLineChars="100" w:firstLine="210"/>
              <w:rPr>
                <w:szCs w:val="21"/>
              </w:rPr>
            </w:pPr>
            <w:r w:rsidRPr="00B35461">
              <w:rPr>
                <w:rFonts w:hint="eastAsia"/>
                <w:szCs w:val="21"/>
              </w:rPr>
              <w:t>小規模事業者とは</w:t>
            </w:r>
            <w:r>
              <w:rPr>
                <w:rFonts w:hint="eastAsia"/>
                <w:szCs w:val="21"/>
              </w:rPr>
              <w:t>従業員数が商業・サービス業で</w:t>
            </w:r>
            <w:r w:rsidRPr="00B35461">
              <w:rPr>
                <w:rFonts w:hint="eastAsia"/>
                <w:szCs w:val="21"/>
              </w:rPr>
              <w:t>5</w:t>
            </w:r>
            <w:r w:rsidRPr="00B35461">
              <w:rPr>
                <w:rFonts w:hint="eastAsia"/>
                <w:szCs w:val="21"/>
              </w:rPr>
              <w:t>名以下、</w:t>
            </w:r>
            <w:r>
              <w:rPr>
                <w:rFonts w:hint="eastAsia"/>
                <w:szCs w:val="21"/>
              </w:rPr>
              <w:t>但し宿泊業は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名以下。</w:t>
            </w:r>
          </w:p>
          <w:p w14:paraId="19E1CDF8" w14:textId="77777777" w:rsidR="00107838" w:rsidRPr="005E386C" w:rsidRDefault="00107838" w:rsidP="005E386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製造業・建設業は</w:t>
            </w:r>
            <w:r w:rsidRPr="00B35461">
              <w:rPr>
                <w:rFonts w:hint="eastAsia"/>
                <w:szCs w:val="21"/>
              </w:rPr>
              <w:t>20</w:t>
            </w:r>
            <w:r w:rsidRPr="00B35461">
              <w:rPr>
                <w:rFonts w:hint="eastAsia"/>
                <w:szCs w:val="21"/>
              </w:rPr>
              <w:t>名以下とな</w:t>
            </w:r>
            <w:r>
              <w:rPr>
                <w:rFonts w:hint="eastAsia"/>
                <w:szCs w:val="21"/>
              </w:rPr>
              <w:t>ります。</w:t>
            </w:r>
          </w:p>
          <w:p w14:paraId="0EAAF01B" w14:textId="31CC89D3" w:rsidR="00107838" w:rsidRDefault="00107838" w:rsidP="005E386C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２）次のいずれかの事業に取り組むこと</w:t>
            </w:r>
          </w:p>
          <w:p w14:paraId="0ED0352D" w14:textId="0BEF592B" w:rsidR="00107838" w:rsidRDefault="00107838" w:rsidP="00CF03BD">
            <w:pPr>
              <w:ind w:left="240" w:hangingChars="100" w:hanging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①サプライチェーンが壊れたことへの対応</w:t>
            </w:r>
          </w:p>
          <w:p w14:paraId="7FBAC7E6" w14:textId="77777777" w:rsidR="00107838" w:rsidRDefault="00107838" w:rsidP="001078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例）外部からの部品調達が困難なため内製化するための設備投資など</w:t>
            </w:r>
          </w:p>
          <w:p w14:paraId="0A9D3E50" w14:textId="5F458701" w:rsidR="00107838" w:rsidRDefault="00107838" w:rsidP="00107838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②非対面型ビジネスモデルへの転換</w:t>
            </w:r>
          </w:p>
          <w:p w14:paraId="27D3521F" w14:textId="6002FE39" w:rsidR="00107838" w:rsidRDefault="00107838" w:rsidP="001078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</w:t>
            </w:r>
            <w:r w:rsidR="00CF03BD">
              <w:rPr>
                <w:rFonts w:hint="eastAsia"/>
                <w:szCs w:val="21"/>
              </w:rPr>
              <w:t>店舗販売している事業者が新たにネット販売に取り組む投資など</w:t>
            </w:r>
          </w:p>
          <w:p w14:paraId="20B18E5D" w14:textId="12EF609C" w:rsidR="00CF03BD" w:rsidRDefault="00CF03BD" w:rsidP="00CF03BD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③テレワーク環境の整備</w:t>
            </w:r>
          </w:p>
          <w:p w14:paraId="6D20AD5C" w14:textId="72320114" w:rsidR="00CF03BD" w:rsidRDefault="00CF03BD" w:rsidP="00CF03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会議システムの導入・クラウドサービスの導入など</w:t>
            </w:r>
          </w:p>
          <w:p w14:paraId="0C7C90D3" w14:textId="7D3EBA57" w:rsidR="00CF03BD" w:rsidRDefault="00CF03BD" w:rsidP="00CF03BD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３）原村内で事業を営んでいること</w:t>
            </w:r>
          </w:p>
          <w:p w14:paraId="5EA7FA14" w14:textId="63B642F5" w:rsidR="00107838" w:rsidRPr="00CF03BD" w:rsidRDefault="00CF03BD" w:rsidP="005E38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（非会員も申請可能です）</w:t>
            </w:r>
          </w:p>
        </w:tc>
        <w:tc>
          <w:tcPr>
            <w:tcW w:w="2700" w:type="dxa"/>
            <w:vAlign w:val="center"/>
          </w:tcPr>
          <w:p w14:paraId="6D31B25F" w14:textId="16D20D11" w:rsidR="00107838" w:rsidRDefault="006D6E76" w:rsidP="00E22F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①</w:t>
            </w:r>
            <w:r w:rsidR="00107838" w:rsidRPr="00BE00A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２／３</w:t>
            </w:r>
          </w:p>
          <w:p w14:paraId="2694CFF0" w14:textId="69259D1C" w:rsidR="00107838" w:rsidRDefault="00107838" w:rsidP="00E22F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（上限１００</w:t>
            </w:r>
            <w:r w:rsidRPr="00BE00A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万円）</w:t>
            </w:r>
          </w:p>
          <w:p w14:paraId="35F9F38B" w14:textId="2BDE00AB" w:rsidR="00107838" w:rsidRDefault="006D6E76" w:rsidP="00E22F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②、③３／4</w:t>
            </w:r>
          </w:p>
          <w:p w14:paraId="7ECC7C6E" w14:textId="0A0F03F8" w:rsidR="006D6E76" w:rsidRDefault="006D6E76" w:rsidP="00E22F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（上限１００</w:t>
            </w:r>
            <w:r w:rsidRPr="00BE00AA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万円）</w:t>
            </w:r>
          </w:p>
          <w:p w14:paraId="2BD0E16D" w14:textId="3EE4AEEF" w:rsidR="00107838" w:rsidRPr="003E23C5" w:rsidRDefault="00107838" w:rsidP="003E23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vAlign w:val="center"/>
          </w:tcPr>
          <w:p w14:paraId="46785DB5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１）機械装置費</w:t>
            </w:r>
          </w:p>
          <w:p w14:paraId="12AFB050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２）広報費</w:t>
            </w:r>
            <w:r>
              <w:rPr>
                <w:rFonts w:hint="eastAsia"/>
                <w:sz w:val="22"/>
              </w:rPr>
              <w:t>（ホームページ作成・チラシ、カタログ作成等）</w:t>
            </w:r>
          </w:p>
          <w:p w14:paraId="790BB271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３）展示会出展費</w:t>
            </w:r>
          </w:p>
          <w:p w14:paraId="50C9A0E5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４）開発費</w:t>
            </w:r>
          </w:p>
          <w:p w14:paraId="622E572B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５）委託費</w:t>
            </w:r>
          </w:p>
          <w:p w14:paraId="26D2EEA1" w14:textId="77777777" w:rsidR="00107838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>６）外注費</w:t>
            </w:r>
            <w:r>
              <w:rPr>
                <w:rFonts w:hint="eastAsia"/>
                <w:sz w:val="22"/>
              </w:rPr>
              <w:t>（店舗改装等）</w:t>
            </w:r>
          </w:p>
          <w:p w14:paraId="05196072" w14:textId="77777777" w:rsidR="00107838" w:rsidRPr="003E23C5" w:rsidRDefault="00107838">
            <w:pPr>
              <w:rPr>
                <w:sz w:val="22"/>
              </w:rPr>
            </w:pPr>
            <w:r w:rsidRPr="003E23C5">
              <w:rPr>
                <w:rFonts w:hint="eastAsia"/>
                <w:sz w:val="22"/>
              </w:rPr>
              <w:t xml:space="preserve">　等</w:t>
            </w:r>
          </w:p>
          <w:p w14:paraId="4680E535" w14:textId="3995B39B" w:rsidR="00107838" w:rsidRPr="003E23C5" w:rsidRDefault="00107838">
            <w:pPr>
              <w:rPr>
                <w:sz w:val="24"/>
                <w:szCs w:val="24"/>
              </w:rPr>
            </w:pPr>
            <w:r w:rsidRPr="003E23C5">
              <w:rPr>
                <w:rFonts w:hint="eastAsia"/>
                <w:sz w:val="22"/>
              </w:rPr>
              <w:t>※詳細は公募要領をご覧ください。</w:t>
            </w:r>
          </w:p>
        </w:tc>
      </w:tr>
    </w:tbl>
    <w:p w14:paraId="74238411" w14:textId="35F366D4" w:rsidR="005D06BC" w:rsidRDefault="00E22F77">
      <w:pPr>
        <w:rPr>
          <w:sz w:val="24"/>
          <w:szCs w:val="24"/>
        </w:rPr>
      </w:pPr>
      <w:r w:rsidRPr="00BE00AA">
        <w:rPr>
          <w:rFonts w:hint="eastAsia"/>
          <w:sz w:val="24"/>
          <w:szCs w:val="24"/>
        </w:rPr>
        <w:t>（２）</w:t>
      </w:r>
      <w:r w:rsidR="00BE00AA">
        <w:rPr>
          <w:rFonts w:hint="eastAsia"/>
          <w:sz w:val="24"/>
          <w:szCs w:val="24"/>
        </w:rPr>
        <w:t xml:space="preserve">提出先　</w:t>
      </w:r>
      <w:r w:rsidR="00774D9A">
        <w:rPr>
          <w:rFonts w:hint="eastAsia"/>
          <w:sz w:val="24"/>
          <w:szCs w:val="24"/>
        </w:rPr>
        <w:t xml:space="preserve">　</w:t>
      </w:r>
      <w:r w:rsidR="00294F90">
        <w:rPr>
          <w:rFonts w:hint="eastAsia"/>
          <w:sz w:val="24"/>
          <w:szCs w:val="24"/>
        </w:rPr>
        <w:t>原村</w:t>
      </w:r>
      <w:r w:rsidR="00BE00AA">
        <w:rPr>
          <w:rFonts w:hint="eastAsia"/>
          <w:sz w:val="24"/>
          <w:szCs w:val="24"/>
        </w:rPr>
        <w:t>商工会　（諏訪郡</w:t>
      </w:r>
      <w:r w:rsidR="00294F90">
        <w:rPr>
          <w:rFonts w:hint="eastAsia"/>
          <w:sz w:val="24"/>
          <w:szCs w:val="24"/>
        </w:rPr>
        <w:t>原村</w:t>
      </w:r>
      <w:r w:rsidR="00294F90">
        <w:rPr>
          <w:rFonts w:hint="eastAsia"/>
          <w:sz w:val="24"/>
          <w:szCs w:val="24"/>
        </w:rPr>
        <w:t>6555</w:t>
      </w:r>
      <w:r w:rsidR="00BE00AA">
        <w:rPr>
          <w:rFonts w:hint="eastAsia"/>
          <w:sz w:val="24"/>
          <w:szCs w:val="24"/>
        </w:rPr>
        <w:t>）</w:t>
      </w:r>
    </w:p>
    <w:p w14:paraId="118E6735" w14:textId="77777777" w:rsidR="008A3C22" w:rsidRDefault="00BE0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（３）提出</w:t>
      </w:r>
      <w:r w:rsidR="008A3C22">
        <w:rPr>
          <w:rFonts w:hint="eastAsia"/>
          <w:sz w:val="24"/>
          <w:szCs w:val="24"/>
        </w:rPr>
        <w:t>〆切及び実施期間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3260"/>
        <w:gridCol w:w="4819"/>
      </w:tblGrid>
      <w:tr w:rsidR="008A3C22" w14:paraId="7023C91B" w14:textId="77777777" w:rsidTr="00EC4A92">
        <w:tc>
          <w:tcPr>
            <w:tcW w:w="1134" w:type="dxa"/>
            <w:vAlign w:val="center"/>
          </w:tcPr>
          <w:p w14:paraId="1F1A0671" w14:textId="77777777" w:rsidR="008A3C22" w:rsidRDefault="008A3C22" w:rsidP="005D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75DAA4" w14:textId="77777777" w:rsidR="008A3C22" w:rsidRDefault="008A3C22" w:rsidP="005D0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提出〆切</w:t>
            </w:r>
          </w:p>
        </w:tc>
        <w:tc>
          <w:tcPr>
            <w:tcW w:w="4819" w:type="dxa"/>
            <w:vAlign w:val="center"/>
          </w:tcPr>
          <w:p w14:paraId="7851AB41" w14:textId="77777777" w:rsidR="008A3C22" w:rsidRDefault="008A3C22" w:rsidP="005D0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</w:tr>
      <w:tr w:rsidR="00CF03BD" w14:paraId="551CD42C" w14:textId="77777777" w:rsidTr="00CF03BD">
        <w:trPr>
          <w:trHeight w:val="295"/>
        </w:trPr>
        <w:tc>
          <w:tcPr>
            <w:tcW w:w="1134" w:type="dxa"/>
            <w:vAlign w:val="center"/>
          </w:tcPr>
          <w:p w14:paraId="27E7119D" w14:textId="1DE875DD" w:rsidR="00CF03BD" w:rsidRDefault="00CF03BD" w:rsidP="005D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 w:rsidR="006D6E76"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回</w:t>
            </w:r>
          </w:p>
        </w:tc>
        <w:tc>
          <w:tcPr>
            <w:tcW w:w="3260" w:type="dxa"/>
            <w:vAlign w:val="center"/>
          </w:tcPr>
          <w:p w14:paraId="669B70CD" w14:textId="48328AE1" w:rsidR="00CF03BD" w:rsidRDefault="00CF03BD" w:rsidP="0068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</w:t>
            </w:r>
            <w:r w:rsidR="006D6E76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D6E76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6D6E76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14:paraId="74434E39" w14:textId="6352ABE7" w:rsidR="00CF03BD" w:rsidRDefault="00CF03BD" w:rsidP="00304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交付決定から令和３年</w:t>
            </w:r>
            <w:r w:rsidR="006D6E76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月３１日（</w:t>
            </w:r>
            <w:r w:rsidR="006D6E7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0A3496E8" w14:textId="77777777" w:rsidR="00FF7245" w:rsidRDefault="005D06BC" w:rsidP="005D0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F7245">
        <w:rPr>
          <w:rFonts w:hint="eastAsia"/>
          <w:sz w:val="24"/>
          <w:szCs w:val="24"/>
        </w:rPr>
        <w:t>その他</w:t>
      </w:r>
    </w:p>
    <w:p w14:paraId="1E8DEF2A" w14:textId="765360A9" w:rsidR="00FF7245" w:rsidRPr="00696EC9" w:rsidRDefault="00FF7245" w:rsidP="00FF7245">
      <w:pPr>
        <w:ind w:left="630" w:hangingChars="300" w:hanging="630"/>
        <w:rPr>
          <w:szCs w:val="21"/>
        </w:rPr>
      </w:pPr>
      <w:r w:rsidRPr="00696EC9">
        <w:rPr>
          <w:rFonts w:hint="eastAsia"/>
          <w:szCs w:val="21"/>
        </w:rPr>
        <w:t xml:space="preserve">　①　</w:t>
      </w:r>
      <w:r w:rsidR="00A61312" w:rsidRPr="00696EC9">
        <w:rPr>
          <w:rFonts w:hint="eastAsia"/>
          <w:szCs w:val="21"/>
        </w:rPr>
        <w:t>原村商工会には少なくとも、提出</w:t>
      </w:r>
      <w:r w:rsidR="00696EC9" w:rsidRPr="00696EC9">
        <w:rPr>
          <w:rFonts w:hint="eastAsia"/>
          <w:szCs w:val="21"/>
        </w:rPr>
        <w:t>〆切の１週間前までに提出してください。</w:t>
      </w:r>
    </w:p>
    <w:p w14:paraId="273234B5" w14:textId="4C0DD2FE" w:rsidR="00696EC9" w:rsidRDefault="00FF7245" w:rsidP="00696EC9">
      <w:pPr>
        <w:ind w:firstLineChars="100" w:firstLine="210"/>
        <w:rPr>
          <w:szCs w:val="21"/>
        </w:rPr>
      </w:pPr>
      <w:r w:rsidRPr="00696EC9">
        <w:rPr>
          <w:rFonts w:hint="eastAsia"/>
          <w:szCs w:val="21"/>
        </w:rPr>
        <w:t xml:space="preserve">②　</w:t>
      </w:r>
      <w:r w:rsidR="00696EC9" w:rsidRPr="00696EC9">
        <w:rPr>
          <w:rFonts w:hint="eastAsia"/>
          <w:szCs w:val="21"/>
        </w:rPr>
        <w:t>申請方法が従来からの書面方式に加えてネット申請（Ｊグランツ）ができます。</w:t>
      </w:r>
    </w:p>
    <w:p w14:paraId="49643A08" w14:textId="2FDE753E" w:rsidR="00696EC9" w:rsidRPr="00696EC9" w:rsidRDefault="00696EC9" w:rsidP="00696EC9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 xml:space="preserve">　（Ｊグランツを利用するにはＧビズＩＤプライムアカウントが必要です。取得には２週間程度必要ですので、ネット申請希望の方はお早めに取得してください。）</w:t>
      </w:r>
    </w:p>
    <w:p w14:paraId="282E02F0" w14:textId="3C943474" w:rsidR="00696EC9" w:rsidRPr="00696EC9" w:rsidRDefault="00696EC9" w:rsidP="00696E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概算払い請求ができるようになりました。（売上高が対前年同月比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％以上減少している方）</w:t>
      </w:r>
    </w:p>
    <w:p w14:paraId="461CF087" w14:textId="1CAD0947" w:rsidR="00BE00AA" w:rsidRDefault="00696EC9" w:rsidP="00696EC9">
      <w:pPr>
        <w:rPr>
          <w:sz w:val="24"/>
          <w:szCs w:val="24"/>
        </w:rPr>
      </w:pPr>
      <w:r>
        <w:rPr>
          <w:rFonts w:hint="eastAsia"/>
          <w:szCs w:val="21"/>
        </w:rPr>
        <w:t xml:space="preserve">　④</w:t>
      </w:r>
      <w:r>
        <w:rPr>
          <w:rFonts w:hint="eastAsia"/>
          <w:szCs w:val="21"/>
        </w:rPr>
        <w:t xml:space="preserve"> </w:t>
      </w:r>
      <w:r w:rsidR="00BD516C" w:rsidRPr="00696EC9">
        <w:rPr>
          <w:rFonts w:hint="eastAsia"/>
          <w:szCs w:val="21"/>
        </w:rPr>
        <w:t>公募</w:t>
      </w:r>
      <w:r w:rsidR="00BE00AA" w:rsidRPr="00696EC9">
        <w:rPr>
          <w:rFonts w:hint="eastAsia"/>
          <w:szCs w:val="21"/>
        </w:rPr>
        <w:t>要領及び申請書は</w:t>
      </w:r>
      <w:r w:rsidR="00294F90" w:rsidRPr="00696EC9">
        <w:rPr>
          <w:rFonts w:hint="eastAsia"/>
          <w:szCs w:val="21"/>
        </w:rPr>
        <w:t>原村商工会</w:t>
      </w:r>
      <w:r w:rsidR="00BE00AA" w:rsidRPr="00696EC9">
        <w:rPr>
          <w:rFonts w:hint="eastAsia"/>
          <w:szCs w:val="21"/>
        </w:rPr>
        <w:t>ウェブサイト</w:t>
      </w:r>
      <w:r w:rsidR="004E36B0" w:rsidRPr="00696EC9">
        <w:rPr>
          <w:rFonts w:hint="eastAsia"/>
          <w:szCs w:val="21"/>
        </w:rPr>
        <w:t>に掲載してご</w:t>
      </w:r>
      <w:r w:rsidR="00774D9A" w:rsidRPr="00696EC9">
        <w:rPr>
          <w:rFonts w:hint="eastAsia"/>
          <w:szCs w:val="21"/>
        </w:rPr>
        <w:t>ざ</w:t>
      </w:r>
      <w:r w:rsidR="004E36B0" w:rsidRPr="00696EC9">
        <w:rPr>
          <w:rFonts w:hint="eastAsia"/>
          <w:szCs w:val="21"/>
        </w:rPr>
        <w:t>います。</w:t>
      </w:r>
    </w:p>
    <w:p w14:paraId="5F4455D0" w14:textId="41D16255" w:rsidR="00BE00AA" w:rsidRPr="00BE00AA" w:rsidRDefault="00294F90" w:rsidP="00BE00A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原村</w:t>
      </w:r>
      <w:r w:rsidR="00BE00AA" w:rsidRPr="00BE00AA">
        <w:rPr>
          <w:rFonts w:ascii="HGS創英角ｺﾞｼｯｸUB" w:eastAsia="HGS創英角ｺﾞｼｯｸUB" w:hAnsi="HGS創英角ｺﾞｼｯｸUB" w:hint="eastAsia"/>
          <w:sz w:val="32"/>
          <w:szCs w:val="32"/>
        </w:rPr>
        <w:t>商工会</w:t>
      </w:r>
      <w:r>
        <w:rPr>
          <w:rFonts w:ascii="HGS創英角ｺﾞｼｯｸUB" w:eastAsia="HGS創英角ｺﾞｼｯｸUB" w:hAnsi="HGS創英角ｺﾞｼｯｸUB" w:hint="eastAsia"/>
          <w:szCs w:val="21"/>
        </w:rPr>
        <w:t>（</w:t>
      </w:r>
      <w:r w:rsidRPr="00294F90">
        <w:rPr>
          <w:rFonts w:ascii="HGS創英角ｺﾞｼｯｸUB" w:eastAsia="HGS創英角ｺﾞｼｯｸUB" w:hAnsi="HGS創英角ｺﾞｼｯｸUB" w:hint="eastAsia"/>
          <w:szCs w:val="21"/>
        </w:rPr>
        <w:t>TEL</w:t>
      </w:r>
      <w:r>
        <w:rPr>
          <w:rFonts w:ascii="HGS創英角ｺﾞｼｯｸUB" w:eastAsia="HGS創英角ｺﾞｼｯｸUB" w:hAnsi="HGS創英角ｺﾞｼｯｸUB" w:hint="eastAsia"/>
          <w:szCs w:val="21"/>
        </w:rPr>
        <w:t>：</w:t>
      </w:r>
      <w:r w:rsidRPr="00294F90">
        <w:rPr>
          <w:rFonts w:ascii="HGS創英角ｺﾞｼｯｸUB" w:eastAsia="HGS創英角ｺﾞｼｯｸUB" w:hAnsi="HGS創英角ｺﾞｼｯｸUB" w:hint="eastAsia"/>
          <w:szCs w:val="21"/>
        </w:rPr>
        <w:t>79-4738</w:t>
      </w:r>
      <w:r>
        <w:rPr>
          <w:rFonts w:ascii="HGS創英角ｺﾞｼｯｸUB" w:eastAsia="HGS創英角ｺﾞｼｯｸUB" w:hAnsi="HGS創英角ｺﾞｼｯｸUB" w:hint="eastAsia"/>
          <w:szCs w:val="21"/>
        </w:rPr>
        <w:t xml:space="preserve">　FAX：79-5718　E-mail：</w:t>
      </w:r>
      <w:hyperlink r:id="rId7" w:history="1">
        <w:r w:rsidRPr="00294F90">
          <w:rPr>
            <w:rStyle w:val="ab"/>
            <w:rFonts w:ascii="HGS創英角ｺﾞｼｯｸUB" w:eastAsia="HGS創英角ｺﾞｼｯｸUB" w:hAnsi="HGS創英角ｺﾞｼｯｸUB" w:hint="eastAsia"/>
            <w:szCs w:val="21"/>
            <w:u w:val="none"/>
          </w:rPr>
          <w:t>h</w:t>
        </w:r>
        <w:r w:rsidRPr="00294F90">
          <w:rPr>
            <w:rStyle w:val="ab"/>
            <w:rFonts w:ascii="HGS創英角ｺﾞｼｯｸUB" w:eastAsia="HGS創英角ｺﾞｼｯｸUB" w:hAnsi="HGS創英角ｺﾞｼｯｸUB"/>
            <w:szCs w:val="21"/>
            <w:u w:val="none"/>
          </w:rPr>
          <w:t>arasyo@po9.lcv.ne.jp</w:t>
        </w:r>
      </w:hyperlink>
      <w:r>
        <w:rPr>
          <w:rFonts w:ascii="HGS創英角ｺﾞｼｯｸUB" w:eastAsia="HGS創英角ｺﾞｼｯｸUB" w:hAnsi="HGS創英角ｺﾞｼｯｸUB" w:hint="eastAsia"/>
          <w:szCs w:val="21"/>
        </w:rPr>
        <w:t>）</w:t>
      </w:r>
    </w:p>
    <w:sectPr w:rsidR="00BE00AA" w:rsidRPr="00BE00AA" w:rsidSect="00E72440">
      <w:pgSz w:w="11906" w:h="16838"/>
      <w:pgMar w:top="1135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3A92" w14:textId="77777777" w:rsidR="00F63DFE" w:rsidRDefault="00F63DFE" w:rsidP="00F63DFE">
      <w:r>
        <w:separator/>
      </w:r>
    </w:p>
  </w:endnote>
  <w:endnote w:type="continuationSeparator" w:id="0">
    <w:p w14:paraId="54A06A36" w14:textId="77777777" w:rsidR="00F63DFE" w:rsidRDefault="00F63DFE" w:rsidP="00F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F1D7" w14:textId="77777777" w:rsidR="00F63DFE" w:rsidRDefault="00F63DFE" w:rsidP="00F63DFE">
      <w:r>
        <w:separator/>
      </w:r>
    </w:p>
  </w:footnote>
  <w:footnote w:type="continuationSeparator" w:id="0">
    <w:p w14:paraId="5008C316" w14:textId="77777777" w:rsidR="00F63DFE" w:rsidRDefault="00F63DFE" w:rsidP="00F6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68"/>
    <w:rsid w:val="000744A0"/>
    <w:rsid w:val="000C5EBF"/>
    <w:rsid w:val="00107838"/>
    <w:rsid w:val="00170D38"/>
    <w:rsid w:val="001E6D1E"/>
    <w:rsid w:val="00273568"/>
    <w:rsid w:val="00294F90"/>
    <w:rsid w:val="003E23C5"/>
    <w:rsid w:val="004D4CF7"/>
    <w:rsid w:val="004E36B0"/>
    <w:rsid w:val="005C215D"/>
    <w:rsid w:val="005D06BC"/>
    <w:rsid w:val="005E386C"/>
    <w:rsid w:val="006808D8"/>
    <w:rsid w:val="00696EC9"/>
    <w:rsid w:val="006D6E76"/>
    <w:rsid w:val="006E0E6B"/>
    <w:rsid w:val="00752F87"/>
    <w:rsid w:val="00774D9A"/>
    <w:rsid w:val="0082659D"/>
    <w:rsid w:val="008A3C22"/>
    <w:rsid w:val="008B2B20"/>
    <w:rsid w:val="008F54DB"/>
    <w:rsid w:val="009D6597"/>
    <w:rsid w:val="009F7B63"/>
    <w:rsid w:val="00A2626C"/>
    <w:rsid w:val="00A61312"/>
    <w:rsid w:val="00AC2819"/>
    <w:rsid w:val="00B35461"/>
    <w:rsid w:val="00B37C66"/>
    <w:rsid w:val="00B72F46"/>
    <w:rsid w:val="00BB33BF"/>
    <w:rsid w:val="00BD516C"/>
    <w:rsid w:val="00BE00AA"/>
    <w:rsid w:val="00CD66CA"/>
    <w:rsid w:val="00CF03BD"/>
    <w:rsid w:val="00D0690E"/>
    <w:rsid w:val="00D36ED1"/>
    <w:rsid w:val="00DA4A48"/>
    <w:rsid w:val="00DD7686"/>
    <w:rsid w:val="00E22F77"/>
    <w:rsid w:val="00E72440"/>
    <w:rsid w:val="00EB32D2"/>
    <w:rsid w:val="00EC4A92"/>
    <w:rsid w:val="00F63DF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51C658"/>
  <w15:chartTrackingRefBased/>
  <w15:docId w15:val="{455034E4-2080-4C47-995F-A85F2F20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DFE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F63DFE"/>
  </w:style>
  <w:style w:type="character" w:styleId="a6">
    <w:name w:val="footnote reference"/>
    <w:basedOn w:val="a0"/>
    <w:uiPriority w:val="99"/>
    <w:semiHidden/>
    <w:unhideWhenUsed/>
    <w:rsid w:val="00F63DF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63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DFE"/>
  </w:style>
  <w:style w:type="paragraph" w:styleId="a9">
    <w:name w:val="footer"/>
    <w:basedOn w:val="a"/>
    <w:link w:val="aa"/>
    <w:uiPriority w:val="99"/>
    <w:unhideWhenUsed/>
    <w:rsid w:val="00F63D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DFE"/>
  </w:style>
  <w:style w:type="character" w:styleId="ab">
    <w:name w:val="Hyperlink"/>
    <w:basedOn w:val="a0"/>
    <w:uiPriority w:val="99"/>
    <w:unhideWhenUsed/>
    <w:rsid w:val="00BE00A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3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4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5E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9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syo@po9.lcv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AC28-0A28-490D-85A5-5360967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user06</cp:lastModifiedBy>
  <cp:revision>6</cp:revision>
  <cp:lastPrinted>2020-07-01T09:38:00Z</cp:lastPrinted>
  <dcterms:created xsi:type="dcterms:W3CDTF">2020-07-01T09:40:00Z</dcterms:created>
  <dcterms:modified xsi:type="dcterms:W3CDTF">2020-10-06T04:37:00Z</dcterms:modified>
</cp:coreProperties>
</file>